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0"/>
      </w:pPr>
    </w:p>
    <w:p>
      <w:r>
        <w:rPr>
          <w:b/>
          <w:bCs/>
          <w:color w:val="0D1526"/>
          <w:sz w:val="28"/>
          <w:szCs w:val="28"/>
        </w:rPr>
        <w:t xml:space="preserve">cyber</w:t>
      </w:r>
      <w:r>
        <w:rPr>
          <w:b/>
          <w:bCs/>
          <w:color w:val="00A688"/>
          <w:sz w:val="28"/>
          <w:szCs w:val="28"/>
        </w:rPr>
        <w:t xml:space="preserve">.encse</w:t>
      </w:r>
    </w:p>
    <w:p>
      <w:pPr>
        <w:spacing w:after="300"/>
      </w:pPr>
    </w:p>
    <w:p>
      <w:pPr>
        <w:spacing w:after="200"/>
      </w:pPr>
      <w:r>
        <w:rPr>
          <w:b/>
          <w:bCs/>
          <w:color w:val="0D1526"/>
          <w:sz w:val="48"/>
          <w:szCs w:val="48"/>
        </w:rPr>
        <w:t xml:space="preserve">Penetration Test Scope Questionnaire</w:t>
      </w:r>
    </w:p>
    <w:p>
      <w:pPr>
        <w:spacing w:after="500"/>
      </w:pPr>
      <w:r>
        <w:rPr>
          <w:color w:val="4B5563"/>
          <w:sz w:val="24"/>
          <w:szCs w:val="24"/>
        </w:rPr>
        <w:t xml:space="preserve">Pre-engagement scoping document for penetration tests — network scope, exclusions, rules of engagement, emergency contacts, and authorisation sign-off.</w:t>
      </w:r>
    </w:p>
    <w:tbl>
      <w:tblPr>
        <w:tblW w:type="pct" w:w="100%"/>
        <w:tblBorders>
          <w:top w:val="single" w:color="E5E7EB" w:sz="2"/>
          <w:left w:val="none"/>
          <w:bottom w:val="single" w:color="E5E7EB" w:sz="2"/>
          <w:right w:val="none"/>
          <w:insideH w:val="single" w:color="E5E7EB" w:sz="2"/>
          <w:insideV w:val="none"/>
        </w:tblBorders>
      </w:tblPr>
      <w:tblGrid>
        <w:gridCol w:w="100"/>
        <w:gridCol w:w="100"/>
      </w:tblGrid>
      <w:tr>
        <w:tc>
          <w:tcPr>
            <w:tcW w:type="pct" w:w="30%"/>
            <w:tcMar>
              <w:top w:type="dxa" w:w="100"/>
              <w:bottom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Version</w:t>
            </w:r>
          </w:p>
        </w:tc>
        <w:tc>
          <w:tcPr>
            <w:tcW w:type="pct" w:w="70%"/>
            <w:tcMar>
              <w:top w:type="dxa" w:w="100"/>
              <w:bottom w:type="dxa" w:w="100"/>
            </w:tcMar>
          </w:tcPr>
          <w:p>
            <w:r>
              <w:rPr>
                <w:sz w:val="19"/>
                <w:szCs w:val="19"/>
              </w:rPr>
              <w:t xml:space="preserve">1.0</w:t>
            </w:r>
          </w:p>
        </w:tc>
      </w:tr>
      <w:tr>
        <w:tc>
          <w:tcPr>
            <w:tcW w:type="pct" w:w="30%"/>
            <w:tcMar>
              <w:top w:type="dxa" w:w="100"/>
              <w:bottom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Published</w:t>
            </w:r>
          </w:p>
        </w:tc>
        <w:tc>
          <w:tcPr>
            <w:tcW w:type="pct" w:w="70%"/>
            <w:tcMar>
              <w:top w:type="dxa" w:w="100"/>
              <w:bottom w:type="dxa" w:w="100"/>
            </w:tcMar>
          </w:tcPr>
          <w:p>
            <w:r>
              <w:rPr>
                <w:sz w:val="19"/>
                <w:szCs w:val="19"/>
              </w:rPr>
              <w:t xml:space="preserve">August 2026</w:t>
            </w:r>
          </w:p>
        </w:tc>
      </w:tr>
      <w:tr>
        <w:tc>
          <w:tcPr>
            <w:tcW w:type="pct" w:w="30%"/>
            <w:tcMar>
              <w:top w:type="dxa" w:w="100"/>
              <w:bottom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Purpose</w:t>
            </w:r>
          </w:p>
        </w:tc>
        <w:tc>
          <w:tcPr>
            <w:tcW w:type="pct" w:w="70%"/>
            <w:tcMar>
              <w:top w:type="dxa" w:w="100"/>
              <w:bottom w:type="dxa" w:w="100"/>
            </w:tcMar>
          </w:tcPr>
          <w:p>
            <w:r>
              <w:rPr>
                <w:sz w:val="19"/>
                <w:szCs w:val="19"/>
              </w:rPr>
              <w:t xml:space="preserve">Complete before any penetration test engagement begins</w:t>
            </w:r>
          </w:p>
        </w:tc>
      </w:tr>
    </w:tbl>
    <w:p>
      <w:pPr>
        <w:spacing w:after="400"/>
      </w:pPr>
    </w:p>
    <w:p>
      <w:r>
        <w:rPr>
          <w:i/>
          <w:iCs/>
          <w:color w:val="4B5563"/>
          <w:sz w:val="18"/>
          <w:szCs w:val="18"/>
        </w:rPr>
        <w:t xml:space="preserve">This questionnaire supports scoping conversations between client and tester — it does not itself constitute a signed authorisation. A separate signed Rules of Engagement / Statement of Work is still required before testing begins.</w:t>
      </w:r>
    </w:p>
    <w:p>
      <w:pPr>
        <w:spacing w:before="600"/>
        <w:jc w:val="center"/>
      </w:pPr>
      <w:r>
        <w:rPr>
          <w:color w:val="4B5563"/>
          <w:sz w:val="16"/>
          <w:szCs w:val="16"/>
        </w:rPr>
        <w:t xml:space="preserve">Published by eNeoteric Consultancy Services · cyber.encse.com</w:t>
      </w:r>
    </w:p>
    <w:p>
      <w:r>
        <w:br w:type="page"/>
      </w:r>
    </w:p>
    <w:p>
      <w:pPr>
        <w:pStyle w:val="Heading1"/>
        <w:spacing w:after="140" w:before="320"/>
      </w:pPr>
      <w:r>
        <w:t xml:space="preserve">1. Engagement Overview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Client organisation name: </w:t>
      </w:r>
      <w:r>
        <w:rPr>
          <w:color w:val="9CA3AF"/>
          <w:sz w:val="20"/>
          <w:szCs w:val="20"/>
        </w:rPr>
        <w:t xml:space="preserve">____________________________________________________________________________________________________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Primary point of contact (name, email, phone): </w:t>
      </w:r>
      <w:r>
        <w:rPr>
          <w:color w:val="9CA3AF"/>
          <w:sz w:val="20"/>
          <w:szCs w:val="20"/>
        </w:rPr>
        <w:t xml:space="preserve">____________________________________________________________________________________________________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Engagement dates (proposed start – end): </w:t>
      </w:r>
      <w:r>
        <w:rPr>
          <w:color w:val="9CA3AF"/>
          <w:sz w:val="20"/>
          <w:szCs w:val="20"/>
        </w:rPr>
        <w:t xml:space="preserve">____________________________________________________________________________________________________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Test type: </w:t>
      </w:r>
      <w:r>
        <w:rPr>
          <w:color w:val="9CA3AF"/>
          <w:sz w:val="20"/>
          <w:szCs w:val="20"/>
        </w:rPr>
        <w:t xml:space="preserve">____________________________________________________________</w:t>
      </w:r>
    </w:p>
    <w:p>
      <w:pPr>
        <w:spacing w:after="200"/>
      </w:pPr>
      <w:r>
        <w:rPr>
          <w:i/>
          <w:iCs/>
          <w:color w:val="4B5563"/>
          <w:sz w:val="18"/>
          <w:szCs w:val="18"/>
        </w:rPr>
        <w:t xml:space="preserve">(External network / Internal network / Web application / Mobile application / Wireless / Social engineering / Physical / Red team — circle or list all that apply)</w:t>
      </w:r>
    </w:p>
    <w:p>
      <w:pPr>
        <w:pStyle w:val="Heading1"/>
        <w:spacing w:after="140" w:before="320"/>
      </w:pPr>
      <w:r>
        <w:t xml:space="preserve">2. Scope</w:t>
      </w:r>
    </w:p>
    <w:p>
      <w:pPr>
        <w:pStyle w:val="Heading2"/>
        <w:spacing w:after="100" w:before="220"/>
      </w:pPr>
      <w:r>
        <w:t xml:space="preserve">2.1 In-Scope Targets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  <w:gridCol w:w="3000"/>
      </w:tblGrid>
      <w:tr>
        <w:tc>
          <w:tcPr>
            <w:tcW w:type="pct" w:w="70%"/>
            <w:shd w:fill="0D1526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Question</w:t>
            </w:r>
          </w:p>
        </w:tc>
        <w:tc>
          <w:tcPr>
            <w:tcW w:type="pct" w:w="30%"/>
            <w:shd w:fill="0D1526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Answer</w:t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List all in-scope IP addresses, CIDR ranges, or hostnames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List all in-scope web/mobile application URLs or app store links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List all in-scope cloud accounts (AWS account ID / Azure subscription / GCP project)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Are third-party-hosted assets in scope (SaaS, CDN-fronted origins)?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Yes / No</w:t>
            </w:r>
          </w:p>
        </w:tc>
      </w:tr>
    </w:tbl>
    <w:p>
      <w:pPr>
        <w:spacing w:after="200"/>
      </w:pPr>
    </w:p>
    <w:p>
      <w:pPr>
        <w:pStyle w:val="Heading2"/>
        <w:spacing w:after="100" w:before="220"/>
      </w:pPr>
      <w:r>
        <w:t xml:space="preserve">2.2 Explicit Exclusions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  <w:gridCol w:w="3000"/>
      </w:tblGrid>
      <w:tr>
        <w:tc>
          <w:tcPr>
            <w:tcW w:type="pct" w:w="70%"/>
            <w:shd w:fill="0D1526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Question</w:t>
            </w:r>
          </w:p>
        </w:tc>
        <w:tc>
          <w:tcPr>
            <w:tcW w:type="pct" w:w="30%"/>
            <w:shd w:fill="0D1526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Answer</w:t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List any systems, IP ranges, or functionality explicitly OUT of scope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Are production systems in scope, or staging/test environments only?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Are third-party vendor systems excluded unless separately authorised?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Yes / No</w:t>
            </w:r>
          </w:p>
        </w:tc>
      </w:tr>
    </w:tbl>
    <w:p>
      <w:r>
        <w:br w:type="page"/>
      </w:r>
    </w:p>
    <w:p>
      <w:pPr>
        <w:pStyle w:val="Heading1"/>
        <w:spacing w:after="140" w:before="320"/>
      </w:pPr>
      <w:r>
        <w:t xml:space="preserve">3. Rules of Engagement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  <w:gridCol w:w="3000"/>
      </w:tblGrid>
      <w:tr>
        <w:tc>
          <w:tcPr>
            <w:tcW w:type="pct" w:w="70%"/>
            <w:shd w:fill="0D1526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Question</w:t>
            </w:r>
          </w:p>
        </w:tc>
        <w:tc>
          <w:tcPr>
            <w:tcW w:type="pct" w:w="30%"/>
            <w:shd w:fill="0D1526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Answer</w:t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Testing window (business hours only, or 24/7)?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Is Denial of Service (DoS/DDoS) testing authorised?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Yes / No</w:t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Is social engineering (phishing, vishing, pretexting) authorised?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Yes / No</w:t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Is physical intrusion testing authorised?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Yes / No</w:t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Are automated scanning tools acceptable, or manual testing only?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Should the client's SOC/MSSP be notified in advance, or is this a covert/red-team test?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Maximum acceptable disruption/downtime, if any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Is data exfiltration proof-of-concept authorised (non-destructive sample only)?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Yes / No</w:t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Source IP address(es) the testing team will originate from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140" w:before="320"/>
      </w:pPr>
      <w:r>
        <w:t xml:space="preserve">4. Emergency Contacts &amp; Escalation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  <w:gridCol w:w="3000"/>
      </w:tblGrid>
      <w:tr>
        <w:tc>
          <w:tcPr>
            <w:tcW w:type="pct" w:w="70%"/>
            <w:shd w:fill="0D1526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Question</w:t>
            </w:r>
          </w:p>
        </w:tc>
        <w:tc>
          <w:tcPr>
            <w:tcW w:type="pct" w:w="30%"/>
            <w:shd w:fill="0D1526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Answer</w:t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Client emergency contact — name, phone, email (available during testing window)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Client technical escalation contact (if different from above)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Tester emergency contact — name, phone, email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Agreed "stop testing" signal/process if a critical issue is found or a system becomes unstable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Agreed process for reporting a critical/high-severity finding discovered mid-engagement (immediate notification vs. wait for final report)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140" w:before="320"/>
      </w:pPr>
      <w:r>
        <w:t xml:space="preserve">5. Reporting &amp; 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  <w:gridCol w:w="3000"/>
      </w:tblGrid>
      <w:tr>
        <w:tc>
          <w:tcPr>
            <w:tcW w:type="pct" w:w="70%"/>
            <w:shd w:fill="0D1526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Question</w:t>
            </w:r>
          </w:p>
        </w:tc>
        <w:tc>
          <w:tcPr>
            <w:tcW w:type="pct" w:w="30%"/>
            <w:shd w:fill="0D1526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Answer</w:t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Required report format (PDF, DOCX, both)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Executive summary required in addition to technical findings?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Yes / No</w:t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Retest of remediated findings included in scope?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Yes / No</w:t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Report delivery method (encrypted email, secure portal, in-person handover)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7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>Point of contact for report delivery</w:t>
            </w:r>
          </w:p>
        </w:tc>
        <w:tc>
          <w:tcPr>
            <w:tcW w:type="pct" w:w="3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140" w:before="320"/>
      </w:pPr>
      <w:r>
        <w:t xml:space="preserve">6. Authorisation Sign-Off</w:t>
      </w:r>
    </w:p>
    <w:p>
      <w:pPr>
        <w:spacing w:after="140"/>
      </w:pPr>
      <w:r>
        <w:rPr>
          <w:sz w:val="20"/>
          <w:szCs w:val="20"/>
        </w:rPr>
        <w:t xml:space="preserve">By signing below, the client organisation confirms it has the legal authority to authorise testing of all in-scope assets listed in Section 2, and accepts the Rules of Engagement in Section 3.</w:t>
      </w:r>
    </w:p>
    <w:p>
      <w:pPr>
        <w:spacing w:after="300"/>
      </w:pPr>
    </w:p>
    <w:p>
      <w:pPr>
        <w:spacing w:after="160"/>
      </w:pPr>
      <w:r>
        <w:rPr>
          <w:b/>
          <w:bCs/>
          <w:sz w:val="20"/>
          <w:szCs w:val="20"/>
        </w:rPr>
        <w:t xml:space="preserve">Client authorised signatory (name, title): </w:t>
      </w:r>
      <w:r>
        <w:rPr>
          <w:color w:val="9CA3AF"/>
          <w:sz w:val="20"/>
          <w:szCs w:val="20"/>
        </w:rPr>
        <w:t xml:space="preserve">____________________________________________________________________________________________________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Signature: </w:t>
      </w:r>
      <w:r>
        <w:rPr>
          <w:color w:val="9CA3AF"/>
          <w:sz w:val="20"/>
          <w:szCs w:val="20"/>
        </w:rPr>
        <w:t xml:space="preserve">____________________________________________________________________________________________________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Date: </w:t>
      </w:r>
      <w:r>
        <w:rPr>
          <w:color w:val="9CA3AF"/>
          <w:sz w:val="20"/>
          <w:szCs w:val="20"/>
        </w:rPr>
        <w:t xml:space="preserve">____________________________________________________________________________________________________</w:t>
      </w:r>
    </w:p>
    <w:p>
      <w:pPr>
        <w:spacing w:after="300"/>
      </w:pPr>
    </w:p>
    <w:p>
      <w:pPr>
        <w:spacing w:after="160"/>
      </w:pPr>
      <w:r>
        <w:rPr>
          <w:b/>
          <w:bCs/>
          <w:sz w:val="20"/>
          <w:szCs w:val="20"/>
        </w:rPr>
        <w:t xml:space="preserve">Testing provider representative (name, title): </w:t>
      </w:r>
      <w:r>
        <w:rPr>
          <w:color w:val="9CA3AF"/>
          <w:sz w:val="20"/>
          <w:szCs w:val="20"/>
        </w:rPr>
        <w:t xml:space="preserve">____________________________________________________________________________________________________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Signature: </w:t>
      </w:r>
      <w:r>
        <w:rPr>
          <w:color w:val="9CA3AF"/>
          <w:sz w:val="20"/>
          <w:szCs w:val="20"/>
        </w:rPr>
        <w:t xml:space="preserve">____________________________________________________________________________________________________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Date: </w:t>
      </w:r>
      <w:r>
        <w:rPr>
          <w:color w:val="9CA3AF"/>
          <w:sz w:val="20"/>
          <w:szCs w:val="20"/>
        </w:rPr>
        <w:t xml:space="preserve">____________________________________________________________________________________________________</w:t>
      </w:r>
    </w:p>
    <w:p>
      <w:pPr>
        <w:spacing w:before="500"/>
      </w:pPr>
    </w:p>
    <w:p>
      <w:r>
        <w:rPr>
          <w:i/>
          <w:iCs/>
          <w:color w:val="4B5563"/>
          <w:sz w:val="16"/>
          <w:szCs w:val="16"/>
        </w:rPr>
        <w:t xml:space="preserve">This template is provided for general informational purposes and does not constitute legal advice. Have counsel review your finalised Rules of Engagement / Statement of Work before any engagement begins. © 2026 eNeoteric Consultancy Services — cyber.encse.com</w:t>
      </w:r>
    </w:p>
    <w:sectPr>
      <w:headerReference w:type="default" r:id="rId8"/>
      <w:footerReference w:type="default" r:id="rId9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4" w:color="00D4AA"/>
      </w:pBdr>
      <w:tabs>
        <w:tab w:pos="9360" w:val="left"/>
      </w:tabs>
    </w:pPr>
    <w:r/>
    <w:r>
      <w:rPr>
        <w:color w:val="718095"/>
        <w:sz w:val="16"/>
      </w:rPr>
      <w:t>cyber.encse.com/downloads</w:t>
    </w:r>
    <w:r>
      <w:tab/>
      <w:tab/>
    </w:r>
    <w:r>
      <w:rPr>
        <w:color w:val="718095"/>
        <w:sz w:val="16"/>
      </w:rPr>
      <w:t xml:space="preserve">Page </w:t>
    </w:r>
    <w:r>
      <w:rPr>
        <w:i w:val="0"/>
        <w:color w:val="71809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6" w:space="4" w:color="00D4AA"/>
      </w:pBdr>
    </w:pPr>
    <w:r/>
    <w:r>
      <w:drawing>
        <wp:inline xmlns:a="http://schemas.openxmlformats.org/drawingml/2006/main" xmlns:pic="http://schemas.openxmlformats.org/drawingml/2006/picture">
          <wp:extent cx="228600" cy="2286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rk_ic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" cy="2286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718095"/>
        <w:sz w:val="18"/>
      </w:rPr>
      <w:t xml:space="preserve">  cyber.encse</w:t>
    </w:r>
  </w:p>
  <w:p>
    <w:r>
      <w:drawing>
        <wp:anchor behindDoc="1" distT="0" distB="0" distL="0" distR="0" simplePos="0" locked="0" layoutInCell="1" allowOverlap="1" relativeHeight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3200400" cy="3200400"/>
          <wp:wrapNone/>
          <wp:docPr id="2" name="Picture 2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watermark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200400" cy="32004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320"/>
    </w:pPr>
    <w:rPr>
      <w:rFonts w:ascii="Calibri" w:cs="Calibri" w:eastAsia="Calibri" w:hAnsi="Calibri"/>
      <w:b/>
      <w:bCs/>
      <w:color w:val="0D15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</w:pPr>
    <w:rPr>
      <w:rFonts w:ascii="Calibri" w:cs="Calibri" w:eastAsia="Calibri" w:hAnsi="Calibri"/>
      <w:b/>
      <w:bCs/>
      <w:color w:val="0F766E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2026-08-11T17:01:57.623Z</dcterms:created>
  <dcterms:modified xsi:type="dcterms:W3CDTF">2026-08-11T17:01:57.624Z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