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0"/>
      </w:pPr>
    </w:p>
    <w:p>
      <w:r>
        <w:rPr>
          <w:b/>
          <w:bCs/>
          <w:color w:val="0D1526"/>
          <w:sz w:val="28"/>
          <w:szCs w:val="28"/>
        </w:rPr>
        <w:t xml:space="preserve">cyber</w:t>
      </w:r>
      <w:r>
        <w:rPr>
          <w:b/>
          <w:bCs/>
          <w:color w:val="00A688"/>
          <w:sz w:val="28"/>
          <w:szCs w:val="28"/>
        </w:rPr>
        <w:t xml:space="preserve">.encse</w:t>
      </w:r>
    </w:p>
    <w:p>
      <w:pPr>
        <w:spacing w:after="300"/>
      </w:pPr>
    </w:p>
    <w:p>
      <w:pPr>
        <w:spacing w:after="200"/>
      </w:pPr>
      <w:r>
        <w:rPr>
          <w:b/>
          <w:bCs/>
          <w:color w:val="0D1526"/>
          <w:sz w:val="52"/>
          <w:szCs w:val="52"/>
        </w:rPr>
        <w:t xml:space="preserve">Information Security Policy Pack</w:t>
      </w:r>
    </w:p>
    <w:p>
      <w:pPr>
        <w:spacing w:after="500"/>
      </w:pPr>
      <w:r>
        <w:rPr>
          <w:color w:val="4B5563"/>
          <w:sz w:val="24"/>
          <w:szCs w:val="24"/>
        </w:rPr>
        <w:t xml:space="preserve">Seven policy templates aligned to ISO 27001:2022 Annex A — ready to adapt with your organisation's name, scope, and approval details.</w:t>
      </w:r>
    </w:p>
    <w:tbl>
      <w:tblPr>
        <w:tblW w:type="pct" w:w="100%"/>
        <w:tblBorders>
          <w:top w:val="single" w:color="E5E7EB" w:sz="2"/>
          <w:left w:val="none"/>
          <w:bottom w:val="single" w:color="E5E7EB" w:sz="2"/>
          <w:right w:val="none"/>
          <w:insideH w:val="single" w:color="E5E7EB" w:sz="2"/>
          <w:insideV w:val="none"/>
        </w:tblBorders>
      </w:tblPr>
      <w:tblGrid>
        <w:gridCol w:w="100"/>
        <w:gridCol w:w="100"/>
      </w:tblGrid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Version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1.0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Published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August 2026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Framework alignment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ISO/IEC 27001:2022 Annex A</w:t>
            </w:r>
          </w:p>
        </w:tc>
      </w:tr>
      <w:tr>
        <w:tc>
          <w:tcPr>
            <w:tcW w:type="pct" w:w="30%"/>
            <w:tcMar>
              <w:top w:type="dxa" w:w="100"/>
              <w:bottom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Included policies</w:t>
            </w:r>
          </w:p>
        </w:tc>
        <w:tc>
          <w:tcPr>
            <w:tcW w:type="pct" w:w="70%"/>
            <w:tcMar>
              <w:top w:type="dxa" w:w="100"/>
              <w:bottom w:type="dxa" w:w="100"/>
            </w:tcMar>
          </w:tcPr>
          <w:p>
            <w:r>
              <w:rPr>
                <w:sz w:val="19"/>
                <w:szCs w:val="19"/>
              </w:rPr>
              <w:t xml:space="preserve">AUP, Access Control, Cryptography, BYOD, Remote Work, Incident Management, Policy Review</w:t>
            </w:r>
          </w:p>
        </w:tc>
      </w:tr>
    </w:tbl>
    <w:p>
      <w:pPr>
        <w:spacing w:after="400"/>
      </w:pPr>
    </w:p>
    <w:p>
      <w:r>
        <w:rPr>
          <w:i/>
          <w:iCs/>
          <w:color w:val="4B5563"/>
          <w:sz w:val="18"/>
          <w:szCs w:val="18"/>
        </w:rPr>
        <w:t xml:space="preserve">These are template policies for adaptation, not legal documents. Have counsel and your management team review and approve before organisational rollout. Bracketed placeholders — e.g. [Company Name], [Role] — must be completed before use.</w:t>
      </w:r>
    </w:p>
    <w:p>
      <w:pPr>
        <w:spacing w:before="600"/>
        <w:jc w:val="center"/>
      </w:pPr>
      <w:r>
        <w:rPr>
          <w:color w:val="4B5563"/>
          <w:sz w:val="16"/>
          <w:szCs w:val="16"/>
        </w:rPr>
        <w:t xml:space="preserve">Published by eNeoteric Consultancy Services · cyber.encse.com</w:t>
      </w:r>
    </w:p>
    <w:p>
      <w:r>
        <w:br w:type="page"/>
      </w:r>
    </w:p>
    <w:p>
      <w:pPr>
        <w:pStyle w:val="Heading1"/>
        <w:spacing w:after="140" w:before="320"/>
      </w:pPr>
      <w:r>
        <w:t xml:space="preserve">1. Acceptable Use Policy (AUP)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Applies to: </w:t>
      </w:r>
      <w:r>
        <w:rPr>
          <w:color w:val="1F2937"/>
          <w:sz w:val="19"/>
          <w:szCs w:val="19"/>
        </w:rPr>
        <w:t xml:space="preserve">All employees, contractors, and third parties with access to organisational systems or data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A.5.10 — Acceptable use of information and other associated assets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Version: </w:t>
      </w:r>
      <w:r>
        <w:rPr>
          <w:color w:val="1F2937"/>
          <w:sz w:val="19"/>
          <w:szCs w:val="19"/>
        </w:rPr>
        <w:t xml:space="preserve">1.0  ·  Review cycle: Annual</w:t>
      </w:r>
    </w:p>
    <w:p>
      <w:pPr>
        <w:spacing w:after="100"/>
      </w:pPr>
    </w:p>
    <w:p>
      <w:pPr>
        <w:pStyle w:val="Heading2"/>
        <w:spacing w:after="100" w:before="220"/>
      </w:pPr>
      <w:r>
        <w:t xml:space="preserve">1.1 Purpose</w:t>
      </w:r>
    </w:p>
    <w:p>
      <w:pPr>
        <w:spacing w:after="140"/>
      </w:pPr>
      <w:r>
        <w:rPr>
          <w:sz w:val="20"/>
          <w:szCs w:val="20"/>
        </w:rPr>
        <w:t xml:space="preserve">This policy defines acceptable and prohibited use of [Company Name]'s information systems, devices, networks, and data by all employees, contractors, and third parties ("Users").</w:t>
      </w:r>
    </w:p>
    <w:p>
      <w:pPr>
        <w:pStyle w:val="Heading2"/>
        <w:spacing w:after="100" w:before="220"/>
      </w:pPr>
      <w:r>
        <w:t xml:space="preserve">1.2 Acceptable 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Systems and accounts must be used primarily for authorised business purposes.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Users must lock or log off devices when unattended, and use company-approved authentication (including MFA where required).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Software must only be installed from approved sources; unlicensed or unauthorised software is prohibited.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Users must report suspected security incidents, phishing attempts, or policy violations to the security team immediately.</w:t>
      </w:r>
    </w:p>
    <w:p>
      <w:pPr>
        <w:pStyle w:val="Heading2"/>
        <w:spacing w:after="100" w:before="220"/>
      </w:pPr>
      <w:r>
        <w:t xml:space="preserve">1.3 Prohibited 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Accessing, storing, or transmitting content that is illegal, discriminatory, or violates company conduct policies.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Circumventing or disabling security controls (endpoint protection, DLP, firewall rules) without authorisation.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Sharing credentials, or using another user's account without explicit authorisation.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Connecting unapproved personal storage devices (USB drives, external HDDs) to company systems without prior approval.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Using company systems for personal commercial activity, cryptocurrency mining, or unauthorised data collection.</w:t>
      </w:r>
    </w:p>
    <w:p>
      <w:pPr>
        <w:pStyle w:val="Heading2"/>
        <w:spacing w:after="100" w:before="220"/>
      </w:pPr>
      <w:r>
        <w:t xml:space="preserve">1.4 Monitoring</w:t>
      </w:r>
    </w:p>
    <w:p>
      <w:pPr>
        <w:spacing w:after="140"/>
      </w:pPr>
      <w:r>
        <w:rPr>
          <w:sz w:val="20"/>
          <w:szCs w:val="20"/>
        </w:rPr>
        <w:t xml:space="preserve">[Company Name] reserves the right to monitor system and network usage for security and compliance purposes, in accordance with applicable law and with notice to employees as required by local regulation.</w:t>
      </w:r>
    </w:p>
    <w:p>
      <w:pPr>
        <w:pStyle w:val="Heading2"/>
        <w:spacing w:after="100" w:before="220"/>
      </w:pPr>
      <w:r>
        <w:t xml:space="preserve">1.5 Enforcement</w:t>
      </w:r>
    </w:p>
    <w:p>
      <w:pPr>
        <w:spacing w:after="140"/>
      </w:pPr>
      <w:r>
        <w:rPr>
          <w:sz w:val="20"/>
          <w:szCs w:val="20"/>
        </w:rPr>
        <w:t xml:space="preserve">Violations may result in disciplinary action up to and including termination of employment or contract, and may be reported to law enforcement where unlawful activity is involved.</w:t>
      </w:r>
    </w:p>
    <w:p>
      <w:r>
        <w:br w:type="page"/>
      </w:r>
    </w:p>
    <w:p>
      <w:pPr>
        <w:pStyle w:val="Heading1"/>
        <w:spacing w:after="140" w:before="320"/>
      </w:pPr>
      <w:r>
        <w:t xml:space="preserve">2. Access Control Policy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Applies to: </w:t>
      </w:r>
      <w:r>
        <w:rPr>
          <w:color w:val="1F2937"/>
          <w:sz w:val="19"/>
          <w:szCs w:val="19"/>
        </w:rPr>
        <w:t xml:space="preserve">All employees, contractors, and third parties with access to organisational systems or data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A.5.15, A.5.16, A.5.17, A.5.18 — Access control, identity management, authentication information, access rights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Version: </w:t>
      </w:r>
      <w:r>
        <w:rPr>
          <w:color w:val="1F2937"/>
          <w:sz w:val="19"/>
          <w:szCs w:val="19"/>
        </w:rPr>
        <w:t xml:space="preserve">1.0  ·  Review cycle: Annual</w:t>
      </w:r>
    </w:p>
    <w:p>
      <w:pPr>
        <w:spacing w:after="100"/>
      </w:pPr>
    </w:p>
    <w:p>
      <w:pPr>
        <w:pStyle w:val="Heading2"/>
        <w:spacing w:after="100" w:before="220"/>
      </w:pPr>
      <w:r>
        <w:t xml:space="preserve">2.1 Purpose</w:t>
      </w:r>
    </w:p>
    <w:p>
      <w:pPr>
        <w:spacing w:after="140"/>
      </w:pPr>
      <w:r>
        <w:rPr>
          <w:sz w:val="20"/>
          <w:szCs w:val="20"/>
        </w:rPr>
        <w:t xml:space="preserve">This policy establishes requirements for granting, reviewing, and revoking access to [Company Name]'s systems, applications, and data, based on the principle of least privilege.</w:t>
      </w:r>
    </w:p>
    <w:p>
      <w:pPr>
        <w:pStyle w:val="Heading2"/>
        <w:spacing w:after="100" w:before="220"/>
      </w:pPr>
      <w:r>
        <w:t xml:space="preserve">2.2 Access Provisioning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requests must be approved by the resource owner or manager before provisioning.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is granted on a least-privilege, need-to-know basis — role-based access control (RBAC) should be used wherever supported.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Privileged/administrative access requires separate, dedicated accounts distinct from standard user accounts.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New employee access must be provisioned only after HR onboarding and background verification is complete.</w:t>
      </w:r>
    </w:p>
    <w:p>
      <w:pPr>
        <w:pStyle w:val="Heading2"/>
        <w:spacing w:after="100" w:before="220"/>
      </w:pPr>
      <w:r>
        <w:t xml:space="preserve">2.3 Authentication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Multi-factor authentication (MFA) is required for all remote access, privileged accounts, and access to systems processing sensitive data.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Passwords must meet minimum complexity requirements (12+ characters, no dictionary words) and must not be reused across systems.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Shared or generic accounts are prohibited except where technically unavoidable, and must be individually accountable via a checkout/logging process.</w:t>
      </w:r>
    </w:p>
    <w:p>
      <w:pPr>
        <w:pStyle w:val="Heading2"/>
        <w:spacing w:after="100" w:before="220"/>
      </w:pPr>
      <w:r>
        <w:t xml:space="preserve">2.4 Access Review &amp; Revocation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rights must be reviewed at least quarterly by resource owners; privileged access reviewed monthly.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must be revoked within 24 hours of employment termination, and immediately upon involuntary termination.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must be adjusted within 5 business days of a role change to reflect new least-privilege requirements.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Dormant accounts (90+ days inactive) must be disabled automatically where technically feasible.</w:t>
      </w:r>
    </w:p>
    <w:p>
      <w:r>
        <w:br w:type="page"/>
      </w:r>
    </w:p>
    <w:p>
      <w:pPr>
        <w:pStyle w:val="Heading1"/>
        <w:spacing w:after="140" w:before="320"/>
      </w:pPr>
      <w:r>
        <w:t xml:space="preserve">3. Cryptography Policy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Applies to: </w:t>
      </w:r>
      <w:r>
        <w:rPr>
          <w:color w:val="1F2937"/>
          <w:sz w:val="19"/>
          <w:szCs w:val="19"/>
        </w:rPr>
        <w:t xml:space="preserve">All employees, contractors, and third parties with access to organisational systems or data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A.8.24 — Use of cryptography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Version: </w:t>
      </w:r>
      <w:r>
        <w:rPr>
          <w:color w:val="1F2937"/>
          <w:sz w:val="19"/>
          <w:szCs w:val="19"/>
        </w:rPr>
        <w:t xml:space="preserve">1.0  ·  Review cycle: Annual</w:t>
      </w:r>
    </w:p>
    <w:p>
      <w:pPr>
        <w:spacing w:after="100"/>
      </w:pPr>
    </w:p>
    <w:p>
      <w:pPr>
        <w:pStyle w:val="Heading2"/>
        <w:spacing w:after="100" w:before="220"/>
      </w:pPr>
      <w:r>
        <w:t xml:space="preserve">3.1 Purpose</w:t>
      </w:r>
    </w:p>
    <w:p>
      <w:pPr>
        <w:spacing w:after="140"/>
      </w:pPr>
      <w:r>
        <w:rPr>
          <w:sz w:val="20"/>
          <w:szCs w:val="20"/>
        </w:rPr>
        <w:t xml:space="preserve">This policy defines minimum standards for the use of cryptographic controls to protect the confidentiality, integrity, and authenticity of [Company Name]'s information.</w:t>
      </w:r>
    </w:p>
    <w:p>
      <w:pPr>
        <w:pStyle w:val="Heading2"/>
        <w:spacing w:after="100" w:before="220"/>
      </w:pPr>
      <w:r>
        <w:t xml:space="preserve">3.2 Encryption Standards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Data at rest on servers, databases, and endpoints must be encrypted using AES-256 or an equivalent approved algorithm.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Data in transit must use TLS 1.2 or higher; TLS 1.0/1.1 and SSL are prohibited on all company systems.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Full-disk encryption (e.g. BitLocker, FileVault) is required on all company-issued laptops and mobile devices.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Backups containing sensitive data must be encrypted both in transit to, and at rest in, the backup destination.</w:t>
      </w:r>
    </w:p>
    <w:p>
      <w:pPr>
        <w:pStyle w:val="Heading2"/>
        <w:spacing w:after="100" w:before="220"/>
      </w:pPr>
      <w:r>
        <w:t xml:space="preserve">3.3 Key Management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Cryptographic keys must be generated, stored, and rotated using an approved key management system (KMS) or hardware security module (HSM) — not hardcoded in application code or configuration files.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Key rotation must occur at least every 12 months, or immediately upon suspected compromise.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Access to key management systems requires MFA and is logged and reviewed quarterly.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Deprecated or compromised keys must be revoked and all data re-encrypted with new keys within 30 days.</w:t>
      </w:r>
    </w:p>
    <w:p>
      <w:pPr>
        <w:pStyle w:val="Heading2"/>
        <w:spacing w:after="100" w:before="220"/>
      </w:pPr>
      <w:r>
        <w:t xml:space="preserve">3.4 Prohibited Algorithms</w:t>
      </w:r>
    </w:p>
    <w:p>
      <w:pPr>
        <w:spacing w:after="140"/>
      </w:pPr>
      <w:r>
        <w:rPr>
          <w:sz w:val="20"/>
          <w:szCs w:val="20"/>
        </w:rPr>
        <w:t xml:space="preserve">MD5 and SHA-1 must not be used for any security-relevant purpose (password hashing, digital signatures, integrity verification). DES, 3DES, and RC4 are prohibited for encryption. Password storage must use a purpose-built algorithm (bcrypt, scrypt, or Argon2), never a general-purpose hash function alone.</w:t>
      </w:r>
    </w:p>
    <w:p>
      <w:r>
        <w:br w:type="page"/>
      </w:r>
    </w:p>
    <w:p>
      <w:pPr>
        <w:pStyle w:val="Heading1"/>
        <w:spacing w:after="140" w:before="320"/>
      </w:pPr>
      <w:r>
        <w:t xml:space="preserve">4. Bring Your Own Device (BYOD) Policy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Applies to: </w:t>
      </w:r>
      <w:r>
        <w:rPr>
          <w:color w:val="1F2937"/>
          <w:sz w:val="19"/>
          <w:szCs w:val="19"/>
        </w:rPr>
        <w:t xml:space="preserve">All employees, contractors, and third parties with access to organisational systems or data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A.6.7, A.8.1 — Remote working, user endpoint devices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Version: </w:t>
      </w:r>
      <w:r>
        <w:rPr>
          <w:color w:val="1F2937"/>
          <w:sz w:val="19"/>
          <w:szCs w:val="19"/>
        </w:rPr>
        <w:t xml:space="preserve">1.0  ·  Review cycle: Annual</w:t>
      </w:r>
    </w:p>
    <w:p>
      <w:pPr>
        <w:spacing w:after="100"/>
      </w:pPr>
    </w:p>
    <w:p>
      <w:pPr>
        <w:pStyle w:val="Heading2"/>
        <w:spacing w:after="100" w:before="220"/>
      </w:pPr>
      <w:r>
        <w:t xml:space="preserve">4.1 Purpose</w:t>
      </w:r>
    </w:p>
    <w:p>
      <w:pPr>
        <w:spacing w:after="140"/>
      </w:pPr>
      <w:r>
        <w:rPr>
          <w:sz w:val="20"/>
          <w:szCs w:val="20"/>
        </w:rPr>
        <w:t xml:space="preserve">This policy governs the use of personally owned devices ("BYOD") to access [Company Name]'s systems, applications, and data.</w:t>
      </w:r>
    </w:p>
    <w:p>
      <w:pPr>
        <w:pStyle w:val="Heading2"/>
        <w:spacing w:after="100" w:before="220"/>
      </w:pPr>
      <w:r>
        <w:t xml:space="preserve">4.2 Eligibility &amp; Enrolment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Personal devices must be enrolled in the company's Mobile Device Management (MDM) or Mobile Application Management (MAM) platform before accessing corporate email, files, or applications.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Devices must run a currently-supported OS version with security patches applied within 30 days of release.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Enrolment requires acceptance of this policy and consent to the specific management capabilities described in Section 4.4.</w:t>
      </w:r>
    </w:p>
    <w:p>
      <w:pPr>
        <w:pStyle w:val="Heading2"/>
        <w:spacing w:after="100" w:before="220"/>
      </w:pPr>
      <w:r>
        <w:t xml:space="preserve">4.3 Security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Device passcode/biometric lock is mandatory, with auto-lock after a maximum of 5 minutes of inactivity.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Jailbroken or rooted devices are prohibited from enrolment and will be automatically blocked from corporate access if detected.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Corporate data must be contained within managed applications/containers where MAM is used; copy-paste and "open in" to unmanaged apps is restricted for sensitive data.</w:t>
      </w:r>
    </w:p>
    <w:p>
      <w:pPr>
        <w:pStyle w:val="Heading2"/>
        <w:spacing w:after="100" w:before="220"/>
      </w:pPr>
      <w:r>
        <w:t xml:space="preserve">4.4 Company Rights &amp; Employee Privacy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The company may remotely wipe corporate data (selective wipe) from a device upon employment termination, loss/theft, or policy violation — this does not affect personal data on the device.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The company does not access, monitor, or collect personal photos, messages, or personal app data on BYOD devices.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Employees must report lost or stolen devices to IT/Security within 24 hours.</w:t>
      </w:r>
    </w:p>
    <w:p>
      <w:r>
        <w:br w:type="page"/>
      </w:r>
    </w:p>
    <w:p>
      <w:pPr>
        <w:pStyle w:val="Heading1"/>
        <w:spacing w:after="140" w:before="320"/>
      </w:pPr>
      <w:r>
        <w:t xml:space="preserve">5. Remote Work Security Policy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Applies to: </w:t>
      </w:r>
      <w:r>
        <w:rPr>
          <w:color w:val="1F2937"/>
          <w:sz w:val="19"/>
          <w:szCs w:val="19"/>
        </w:rPr>
        <w:t xml:space="preserve">All employees, contractors, and third parties with access to organisational systems or data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A.6.7 — Remote working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Version: </w:t>
      </w:r>
      <w:r>
        <w:rPr>
          <w:color w:val="1F2937"/>
          <w:sz w:val="19"/>
          <w:szCs w:val="19"/>
        </w:rPr>
        <w:t xml:space="preserve">1.0  ·  Review cycle: Annual</w:t>
      </w:r>
    </w:p>
    <w:p>
      <w:pPr>
        <w:spacing w:after="100"/>
      </w:pPr>
    </w:p>
    <w:p>
      <w:pPr>
        <w:pStyle w:val="Heading2"/>
        <w:spacing w:after="100" w:before="220"/>
      </w:pPr>
      <w:r>
        <w:t xml:space="preserve">5.1 Purpose</w:t>
      </w:r>
    </w:p>
    <w:p>
      <w:pPr>
        <w:spacing w:after="140"/>
      </w:pPr>
      <w:r>
        <w:rPr>
          <w:sz w:val="20"/>
          <w:szCs w:val="20"/>
        </w:rPr>
        <w:t xml:space="preserve">This policy establishes security requirements for employees working remotely, to ensure the same level of protection applied within office environments.</w:t>
      </w:r>
    </w:p>
    <w:p>
      <w:pPr>
        <w:pStyle w:val="Heading2"/>
        <w:spacing w:after="100" w:before="220"/>
      </w:pPr>
      <w:r>
        <w:t xml:space="preserve">5.2 Network &amp; Connectivity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Remote access to internal systems must use the company-approved VPN or Zero Trust Network Access (ZTNA) solution with MFA.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Public Wi-Fi use requires VPN connection at all times; direct access to sensitive systems over unsecured public Wi-Fi is prohibited.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Home network routers should use WPA2/WPA3 encryption with a strong, unique password — default router credentials must be changed.</w:t>
      </w:r>
    </w:p>
    <w:p>
      <w:pPr>
        <w:pStyle w:val="Heading2"/>
        <w:spacing w:after="100" w:before="220"/>
      </w:pPr>
      <w:r>
        <w:t xml:space="preserve">5.3 Physical &amp; Workspace Security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Company devices must not be left unattended in public spaces, vehicles, or shared/visible areas without a privacy screen.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Printed materials containing sensitive information must be stored securely and disposed of via cross-cut shredding, not general household waste.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Video calls involving sensitive discussions should be conducted with backgrounds/environments that prevent unauthorised viewing or recording.</w:t>
      </w:r>
    </w:p>
    <w:p>
      <w:pPr>
        <w:pStyle w:val="Heading2"/>
        <w:spacing w:after="100" w:before="220"/>
      </w:pPr>
      <w:r>
        <w:t xml:space="preserve">5.4 Approved Tools</w:t>
      </w:r>
    </w:p>
    <w:p>
      <w:pPr>
        <w:spacing w:after="140"/>
      </w:pPr>
      <w:r>
        <w:rPr>
          <w:sz w:val="20"/>
          <w:szCs w:val="20"/>
        </w:rPr>
        <w:t xml:space="preserve">Only company-approved collaboration, file-sharing, and communication tools may be used for business data. Personal cloud storage (personal Dropbox/Google Drive) and personal email must not be used to transmit or store company data.</w:t>
      </w:r>
    </w:p>
    <w:p>
      <w:r>
        <w:br w:type="page"/>
      </w:r>
    </w:p>
    <w:p>
      <w:pPr>
        <w:pStyle w:val="Heading1"/>
        <w:spacing w:after="140" w:before="320"/>
      </w:pPr>
      <w:r>
        <w:t xml:space="preserve">6. Information Security Incident Management Policy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Applies to: </w:t>
      </w:r>
      <w:r>
        <w:rPr>
          <w:color w:val="1F2937"/>
          <w:sz w:val="19"/>
          <w:szCs w:val="19"/>
        </w:rPr>
        <w:t xml:space="preserve">All employees, contractors, and third parties with access to organisational systems or data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A.5.24, A.5.25, A.5.26, A.5.27 — Incident management planning, assessment, response, and learning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Version: </w:t>
      </w:r>
      <w:r>
        <w:rPr>
          <w:color w:val="1F2937"/>
          <w:sz w:val="19"/>
          <w:szCs w:val="19"/>
        </w:rPr>
        <w:t xml:space="preserve">1.0  ·  Review cycle: Annual</w:t>
      </w:r>
    </w:p>
    <w:p>
      <w:pPr>
        <w:spacing w:after="100"/>
      </w:pPr>
    </w:p>
    <w:p>
      <w:pPr>
        <w:pStyle w:val="Heading2"/>
        <w:spacing w:after="100" w:before="220"/>
      </w:pPr>
      <w:r>
        <w:t xml:space="preserve">6.1 Purpose</w:t>
      </w:r>
    </w:p>
    <w:p>
      <w:pPr>
        <w:spacing w:after="140"/>
      </w:pPr>
      <w:r>
        <w:rPr>
          <w:sz w:val="20"/>
          <w:szCs w:val="20"/>
        </w:rPr>
        <w:t xml:space="preserve">This policy defines how [Company Name] identifies, reports, assesses, and responds to information security incidents, and how lessons learned are captured.</w:t>
      </w:r>
    </w:p>
    <w:p>
      <w:pPr>
        <w:pStyle w:val="Heading2"/>
        <w:spacing w:after="100" w:before="220"/>
      </w:pPr>
      <w:r>
        <w:t xml:space="preserve">6.2 Reporting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All employees must report suspected security incidents (phishing, malware, unauthorised access, data loss, lost devices) to the security team immediately via [reporting channel — e.g. security@company.com or IT helpdesk].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Incidents must not be investigated or remediated independently by the discovering employee beyond immediate containment (e.g. disconnecting from network) — escalate to the security team.</w:t>
      </w:r>
    </w:p>
    <w:p>
      <w:pPr>
        <w:pStyle w:val="Heading2"/>
        <w:spacing w:after="100" w:before="220"/>
      </w:pPr>
      <w:r>
        <w:t xml:space="preserve">6.3 Classification &amp; Response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Incidents are triaged and classified by severity (Critical / High / Medium / Low) based on business impact and data sensitivity within [target: 1 hour] of report.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 designated Incident Commander leads the response per the organisation's incident response plan/runbook.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Regulatory and contractual notification obligations are assessed by Legal within [target: 24 hours] of confirmed incident classification.</w:t>
      </w:r>
    </w:p>
    <w:p>
      <w:pPr>
        <w:pStyle w:val="Heading2"/>
        <w:spacing w:after="100" w:before="220"/>
      </w:pPr>
      <w:r>
        <w:t xml:space="preserve">6.4 Post-Incident Review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 blameless post-incident review is conducted for all High/Critical incidents within 2 weeks of resolution.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Root causes and corrective actions are tracked to closure with assigned owners and target dates.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This policy, related runbooks, and detection rules are updated based on findings from each incident.</w:t>
      </w:r>
    </w:p>
    <w:p>
      <w:r>
        <w:br w:type="page"/>
      </w:r>
    </w:p>
    <w:p>
      <w:pPr>
        <w:pStyle w:val="Heading1"/>
        <w:spacing w:after="140" w:before="320"/>
      </w:pPr>
      <w:r>
        <w:t xml:space="preserve">7. Policy Review &amp; Governance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Applies to: </w:t>
      </w:r>
      <w:r>
        <w:rPr>
          <w:color w:val="1F2937"/>
          <w:sz w:val="19"/>
          <w:szCs w:val="19"/>
        </w:rPr>
        <w:t xml:space="preserve">All employees, contractors, and third parties with access to organisational systems or data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ISO 27001:2022 Annex A reference: </w:t>
      </w:r>
      <w:r>
        <w:rPr>
          <w:color w:val="1F2937"/>
          <w:sz w:val="19"/>
          <w:szCs w:val="19"/>
        </w:rPr>
        <w:t xml:space="preserve">A.5.1 — Policies for information security</w:t>
      </w:r>
    </w:p>
    <w:p>
      <w:pPr>
        <w:spacing w:after="40"/>
      </w:pPr>
      <w:r>
        <w:rPr>
          <w:b/>
          <w:bCs/>
          <w:color w:val="4B5563"/>
          <w:sz w:val="19"/>
          <w:szCs w:val="19"/>
        </w:rPr>
        <w:t xml:space="preserve">Version: </w:t>
      </w:r>
      <w:r>
        <w:rPr>
          <w:color w:val="1F2937"/>
          <w:sz w:val="19"/>
          <w:szCs w:val="19"/>
        </w:rPr>
        <w:t xml:space="preserve">1.0  ·  Review cycle: Annual</w:t>
      </w:r>
    </w:p>
    <w:p>
      <w:pPr>
        <w:spacing w:after="100"/>
      </w:pPr>
    </w:p>
    <w:p>
      <w:pPr>
        <w:pStyle w:val="Heading2"/>
        <w:spacing w:after="100" w:before="220"/>
      </w:pPr>
      <w:r>
        <w:t xml:space="preserve">7.1 Purpose</w:t>
      </w:r>
    </w:p>
    <w:p>
      <w:pPr>
        <w:spacing w:after="140"/>
      </w:pPr>
      <w:r>
        <w:rPr>
          <w:sz w:val="20"/>
          <w:szCs w:val="20"/>
        </w:rPr>
        <w:t xml:space="preserve">This section governs how the policies in this pack are maintained, approved, and communicated.</w:t>
      </w:r>
    </w:p>
    <w:p>
      <w:pPr>
        <w:pStyle w:val="Heading2"/>
        <w:spacing w:after="100" w:before="220"/>
      </w:pPr>
      <w:r>
        <w:t xml:space="preserve">7.2 Review Cycle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All policies in this pack are reviewed at least annually, or immediately following a significant security incident, regulatory change, or major organisational change.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Policy owners are assigned per policy and are accountable for keeping content current and accurate.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All revisions are version-controlled with a documented change log and require re-approval by [approving authority, e.g. CISO / Management Review].</w:t>
      </w:r>
    </w:p>
    <w:p>
      <w:pPr>
        <w:pStyle w:val="Heading2"/>
        <w:spacing w:after="100" w:before="220"/>
      </w:pPr>
      <w:r>
        <w:t xml:space="preserve">7.3 Communication &amp; Acknowledgement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All policies are communicated to relevant personnel upon onboarding and upon material revision.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Employees must formally acknowledge receipt and understanding of these policies at least annually.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Non-compliance is handled per the organisation's disciplinary process, referenced in each individual policy's Enforcement section.</w:t>
      </w:r>
    </w:p>
    <w:p>
      <w:pPr>
        <w:pStyle w:val="Heading2"/>
        <w:spacing w:after="100" w:before="220"/>
      </w:pPr>
      <w:r>
        <w:t xml:space="preserve">7.4 Change Log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0D1526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pct" w:w="25%"/>
            <w:shd w:fill="0D1526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pct" w:w="25%"/>
            <w:shd w:fill="0D1526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Summary of Changes</w:t>
            </w:r>
          </w:p>
        </w:tc>
        <w:tc>
          <w:tcPr>
            <w:tcW w:type="pct" w:w="25%"/>
            <w:shd w:fill="0D1526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pct" w:w="25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1.0</w:t>
            </w:r>
          </w:p>
        </w:tc>
        <w:tc>
          <w:tcPr>
            <w:tcW w:type="pct" w:w="25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[Date]</w:t>
            </w:r>
          </w:p>
        </w:tc>
        <w:tc>
          <w:tcPr>
            <w:tcW w:type="pct" w:w="25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Initial publication</w:t>
            </w:r>
          </w:p>
        </w:tc>
        <w:tc>
          <w:tcPr>
            <w:tcW w:type="pct" w:w="25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 w:val="false"/>
                <w:bCs w:val="false"/>
                <w:color w:val="1F2937"/>
                <w:sz w:val="18"/>
                <w:szCs w:val="18"/>
              </w:rPr>
              <w:t xml:space="preserve">[Name/Role]</w:t>
            </w:r>
          </w:p>
        </w:tc>
      </w:tr>
    </w:tbl>
    <w:p>
      <w:pPr>
        <w:spacing w:before="400"/>
      </w:pPr>
    </w:p>
    <w:p>
      <w:r>
        <w:rPr>
          <w:i/>
          <w:iCs/>
          <w:color w:val="4B5563"/>
          <w:sz w:val="16"/>
          <w:szCs w:val="16"/>
        </w:rPr>
        <w:t xml:space="preserve">This template pack is provided for general informational purposes and does not constitute legal advice. Adapt to your organisation's structure and have counsel review before adoption. © 2026 eNeoteric Consultancy Services — cyber.encse.com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4" w:color="00D4AA"/>
      </w:pBdr>
      <w:tabs>
        <w:tab w:pos="9360" w:val="left"/>
      </w:tabs>
    </w:pPr>
    <w:r/>
    <w:r>
      <w:rPr>
        <w:color w:val="718095"/>
        <w:sz w:val="16"/>
      </w:rPr>
      <w:t>cyber.encse.com/downloads</w:t>
    </w:r>
    <w:r>
      <w:tab/>
      <w:tab/>
    </w:r>
    <w:r>
      <w:rPr>
        <w:color w:val="718095"/>
        <w:sz w:val="16"/>
      </w:rPr>
      <w:t xml:space="preserve">Page </w:t>
    </w:r>
    <w:r>
      <w:rPr>
        <w:i w:val="0"/>
        <w:color w:val="71809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4" w:color="00D4AA"/>
      </w:pBdr>
    </w:pPr>
    <w:r/>
    <w:r>
      <w:drawing>
        <wp:inline xmlns:a="http://schemas.openxmlformats.org/drawingml/2006/main" xmlns:pic="http://schemas.openxmlformats.org/drawingml/2006/picture">
          <wp:extent cx="228600" cy="228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rk_ic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718095"/>
        <w:sz w:val="18"/>
      </w:rPr>
      <w:t xml:space="preserve">  cyber.encse</w:t>
    </w:r>
  </w:p>
  <w:p>
    <w:r>
      <w:drawing>
        <wp:anchor behindDoc="1" distT="0" distB="0" distL="0" distR="0" simplePos="0" locked="0" layoutInCell="1" allowOverlap="1" relativeHeight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200400" cy="3200400"/>
          <wp:wrapNone/>
          <wp:docPr id="2" name="Picture 2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200400" cy="3200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4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</w:pPr>
    <w:rPr>
      <w:rFonts w:ascii="Calibri" w:cs="Calibri" w:eastAsia="Calibri" w:hAnsi="Calibri"/>
      <w:b/>
      <w:bCs/>
      <w:color w:val="0D15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</w:pPr>
    <w:rPr>
      <w:rFonts w:ascii="Calibri" w:cs="Calibri" w:eastAsia="Calibri" w:hAnsi="Calibri"/>
      <w:b/>
      <w:bCs/>
      <w:color w:val="0F766E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2026-08-11T16:44:54.899Z</dcterms:created>
  <dcterms:modified xsi:type="dcterms:W3CDTF">2026-08-11T16:44:54.900Z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