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0"/>
      </w:pPr>
    </w:p>
    <w:p>
      <w:r>
        <w:rPr>
          <w:b/>
          <w:bCs/>
          <w:color w:val="0D1526"/>
          <w:sz w:val="28"/>
          <w:szCs w:val="28"/>
        </w:rPr>
        <w:t xml:space="preserve">cyber</w:t>
      </w:r>
      <w:r>
        <w:rPr>
          <w:b/>
          <w:bCs/>
          <w:color w:val="00A688"/>
          <w:sz w:val="28"/>
          <w:szCs w:val="28"/>
        </w:rPr>
        <w:t xml:space="preserve">.encse</w:t>
      </w:r>
    </w:p>
    <w:p>
      <w:pPr>
        <w:spacing w:after="300"/>
      </w:pPr>
    </w:p>
    <w:p>
      <w:pPr>
        <w:spacing w:after="200"/>
      </w:pPr>
      <w:r>
        <w:rPr>
          <w:b/>
          <w:bCs/>
          <w:color w:val="0D1526"/>
          <w:sz w:val="52"/>
          <w:szCs w:val="52"/>
        </w:rPr>
        <w:t xml:space="preserve">Cloud Security Policy Template</w:t>
      </w:r>
    </w:p>
    <w:p>
      <w:pPr>
        <w:spacing w:after="500"/>
      </w:pPr>
      <w:r>
        <w:rPr>
          <w:color w:val="4B5563"/>
          <w:sz w:val="24"/>
          <w:szCs w:val="24"/>
        </w:rPr>
        <w:t xml:space="preserve">Cloud-specific policy covering AWS/Azure/GCP account provisioning, IAM standards, data classification, and approved services.</w:t>
      </w:r>
    </w:p>
    <w:tbl>
      <w:tblPr>
        <w:tblW w:type="pct" w:w="100%"/>
        <w:tblBorders>
          <w:top w:val="single" w:color="E5E7EB" w:sz="2"/>
          <w:left w:val="none"/>
          <w:bottom w:val="single" w:color="E5E7EB" w:sz="2"/>
          <w:right w:val="none"/>
          <w:insideH w:val="single" w:color="E5E7EB" w:sz="2"/>
          <w:insideV w:val="none"/>
        </w:tblBorders>
      </w:tblPr>
      <w:tblGrid>
        <w:gridCol w:w="100"/>
        <w:gridCol w:w="100"/>
      </w:tblGrid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Version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Published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August 2026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Framework alignment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ISO/IEC 27001:2022 A.5.23; CIS Benchmarks for AWS/Azure/GCP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Scope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All company cloud accounts, subscriptions, and projects across AWS, Azure, and GCP</w:t>
            </w:r>
          </w:p>
        </w:tc>
      </w:tr>
    </w:tbl>
    <w:p>
      <w:pPr>
        <w:spacing w:after="400"/>
      </w:pPr>
    </w:p>
    <w:p>
      <w:r>
        <w:rPr>
          <w:i/>
          <w:iCs/>
          <w:color w:val="4B5563"/>
          <w:sz w:val="18"/>
          <w:szCs w:val="18"/>
        </w:rPr>
        <w:t xml:space="preserve">This is a template policy for adaptation, not a legal document. Have counsel and your cloud platform team review before adoption. Bracketed placeholders — e.g. [Company Name] — must be completed before use.</w:t>
      </w:r>
    </w:p>
    <w:p>
      <w:pPr>
        <w:spacing w:before="600"/>
        <w:jc w:val="center"/>
      </w:pPr>
      <w:r>
        <w:rPr>
          <w:color w:val="4B5563"/>
          <w:sz w:val="16"/>
          <w:szCs w:val="16"/>
        </w:rPr>
        <w:t xml:space="preserve">Published by eNeoteric Consultancy Services · cyber.encse.com</w:t>
      </w:r>
    </w:p>
    <w:p>
      <w:r>
        <w:br w:type="page"/>
      </w:r>
    </w:p>
    <w:p>
      <w:pPr>
        <w:pStyle w:val="Heading1"/>
        <w:spacing w:after="140" w:before="320"/>
      </w:pPr>
      <w:r>
        <w:t xml:space="preserve">1. Purpose &amp; Scope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A.5.23 — Information security for use of cloud services</w:t>
      </w:r>
    </w:p>
    <w:p>
      <w:pPr>
        <w:spacing w:after="100"/>
      </w:pPr>
    </w:p>
    <w:p>
      <w:pPr>
        <w:spacing w:after="140"/>
      </w:pPr>
      <w:r>
        <w:rPr>
          <w:sz w:val="20"/>
          <w:szCs w:val="20"/>
        </w:rPr>
        <w:t xml:space="preserve">This policy defines security requirements for provisioning, configuring, and operating [Company Name]'s cloud accounts (AWS, Azure, GCP) to protect company data and systems hosted in the cloud. It applies to all cloud accounts created for business use, whether managed by IT/Security, Engineering, or individual business units.</w:t>
      </w:r>
    </w:p>
    <w:p>
      <w:pPr>
        <w:pStyle w:val="Heading1"/>
        <w:spacing w:after="140" w:before="320"/>
      </w:pPr>
      <w:r>
        <w:t xml:space="preserve">2. Account Provisioning &amp; Governance</w:t>
      </w:r>
    </w:p>
    <w:p>
      <w:pPr>
        <w:pStyle w:val="Heading2"/>
        <w:spacing w:after="100" w:before="220"/>
      </w:pPr>
      <w:r>
        <w:t xml:space="preserve">2.1 New Account Requests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All new cloud accounts/subscriptions/projects must be requested through [approval process — e.g. IT Service Desk] and approved by [role, e.g. Cloud Platform Owner].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New accounts must be created within the organisation's centralised billing/management structure (AWS Organizations, Azure Management Groups, or GCP Folders) — standalone, ungoverned accounts are prohibited.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Each account must have a designated business owner accountable for its security posture and cost.</w:t>
      </w:r>
    </w:p>
    <w:p>
      <w:pPr>
        <w:pStyle w:val="Heading2"/>
        <w:spacing w:after="100" w:before="220"/>
      </w:pPr>
      <w:r>
        <w:t xml:space="preserve">2.2 Landing Zone Baseline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New accounts must be provisioned from an approved landing zone template with baseline logging, IAM, and network controls pre-configured.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Root/organisation administrator credentials must be protected with hardware MFA and used only for emergency break-glass access, logged and reviewed after each use.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Billing alerts must be configured to flag anomalous spend, which can indicate compromised credentials or cryptomining abuse.</w:t>
      </w:r>
    </w:p>
    <w:p>
      <w:pPr>
        <w:pStyle w:val="Heading1"/>
        <w:spacing w:after="140" w:before="320"/>
      </w:pPr>
      <w:r>
        <w:t xml:space="preserve">3. Identity &amp; Access 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Federated single sign-on (SSO) via the corporate identity provider is required for all human access — local/native cloud provider accounts are prohibited except for documented break-glass scenarios.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MFA is mandatory for all users, with hardware-token MFA required for privileged/administrative roles.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is granted via role-based access control (RBAC) mapped to job function, following least privilege — broad built-in roles (AWS AdministratorAccess, Azure Owner, GCP Editor/Owner) are restricted to a small, reviewed set of platform administrators.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Service accounts and machine identities use short-lived credentials or workload identity federation in preference to long-lived static keys wherever the platform supports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is reviewed quarterly by account owners; unused/dormant permissions are removed.</w:t>
      </w:r>
    </w:p>
    <w:p>
      <w:pPr>
        <w:pStyle w:val="Heading1"/>
        <w:spacing w:after="140" w:before="320"/>
      </w:pPr>
      <w:r>
        <w:t xml:space="preserve">4. Data Classification &amp; Handling</w:t>
      </w:r>
    </w:p>
    <w:p>
      <w:pPr>
        <w:pStyle w:val="Heading2"/>
        <w:spacing w:after="100" w:before="220"/>
      </w:pPr>
      <w:r>
        <w:t xml:space="preserve">4.1 Classification Levels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pct" w:w="33.333333333333336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pct" w:w="33.333333333333336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Example Controls</w:t>
            </w:r>
          </w:p>
        </w:tc>
      </w:tr>
      <w:tr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Public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Approved for public release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Standard access controls, integrity protection</w:t>
            </w:r>
          </w:p>
        </w:tc>
      </w:tr>
      <w:tr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Internal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Business data not for public release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Company SSO required, encryption in transit</w:t>
            </w:r>
          </w:p>
        </w:tc>
      </w:tr>
      <w:tr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Confidential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Sensitive business data (financials, strategy, contracts)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Encryption at rest + in transit, restricted access group, audit logging</w:t>
            </w:r>
          </w:p>
        </w:tc>
      </w:tr>
      <w:tr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Restricted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Regulated or highly sensitive data (PII, PHI, payment data, secrets)</w:t>
            </w:r>
          </w:p>
        </w:tc>
        <w:tc>
          <w:tcPr>
            <w:tcW w:type="pct" w:w="33.333333333333336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Encryption with customer-managed keys, dedicated access review, DLP controls, breach notification plan</w:t>
            </w:r>
          </w:p>
        </w:tc>
      </w:tr>
    </w:tbl>
    <w:p>
      <w:pPr>
        <w:spacing w:after="200"/>
      </w:pPr>
    </w:p>
    <w:p>
      <w:pPr>
        <w:pStyle w:val="Heading2"/>
        <w:spacing w:after="100" w:before="220"/>
      </w:pPr>
      <w:r>
        <w:t xml:space="preserve">4.2 Handling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Confidential and Restricted data must be encrypted at rest using platform-native encryption (SSE-KMS, Azure Storage Service Encryption, Google-managed/CMEK) and in transit via TLS 1.2+.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Storage resources (S3 buckets, Blob containers, Cloud Storage buckets) default to private; public access requires documented business justification and security sign-off.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Restricted data must not be replicated to non-approved regions or third-party SaaS tools without a data processing agreement in place.</w:t>
      </w:r>
    </w:p>
    <w:p>
      <w:pPr>
        <w:pStyle w:val="Heading1"/>
        <w:spacing w:after="140" w:before="320"/>
      </w:pPr>
      <w:r>
        <w:t xml:space="preserve">5. Approved Services &amp; Shadow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Only cloud services on the organisation's approved services list may be used for business data — see [link to approved services registry].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New service adoption requires a security review covering data residency, encryption support, and access control capability before use with company data.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Cloud Security Posture Management (CSPM) tooling continuously scans for unapproved services, misconfigurations, and policy drift across all accounts.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Personal cloud accounts (individual AWS free-tier accounts, personal Azure subscriptions) must never be used for company data.</w:t>
      </w:r>
    </w:p>
    <w:p>
      <w:pPr>
        <w:pStyle w:val="Heading1"/>
        <w:spacing w:after="140" w:before="320"/>
      </w:pPr>
      <w:r>
        <w:t xml:space="preserve">6. Logging, Monitoring &amp; Incident Response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Audit logging (CloudTrail, Azure Activity Log, GCP Audit Logs) must be enabled for all accounts and forwarded to the central SIEM.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Logs are retained for a minimum of 365 days and stored in a separate, access-restricted account/project to prevent tampering.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Cloud security alerts (unusual API activity, public exposure changes, privilege escalation) are triaged per the organisation's Incident Management Policy.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Cloud accounts are in scope for the annual penetration test and continuous vulnerability scanning programme.</w:t>
      </w:r>
    </w:p>
    <w:p>
      <w:pPr>
        <w:pStyle w:val="Heading1"/>
        <w:spacing w:after="140" w:before="320"/>
      </w:pPr>
      <w:r>
        <w:t xml:space="preserve">7. Enforcement &amp; Review</w:t>
      </w:r>
    </w:p>
    <w:p>
      <w:pPr>
        <w:spacing w:after="140"/>
      </w:pPr>
      <w:r>
        <w:rPr>
          <w:sz w:val="20"/>
          <w:szCs w:val="20"/>
        </w:rPr>
        <w:t xml:space="preserve">Non-compliant accounts or configurations identified through CSPM scanning or audit must be remediated within [target — e.g. 30 days for high-risk findings]. Repeated or unresolved violations may result in account suspension. This policy is reviewed annually and upon major cloud platform changes.</w:t>
      </w:r>
    </w:p>
    <w:p>
      <w:pPr>
        <w:spacing w:before="400"/>
      </w:pPr>
    </w:p>
    <w:p>
      <w:r>
        <w:rPr>
          <w:i/>
          <w:iCs/>
          <w:color w:val="4B5563"/>
          <w:sz w:val="16"/>
          <w:szCs w:val="16"/>
        </w:rPr>
        <w:t xml:space="preserve">This template is provided for general informational purposes and does not constitute legal advice. © 2026 eNeoteric Consultancy Services — cyber.encse.com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4" w:color="00D4AA"/>
      </w:pBdr>
      <w:tabs>
        <w:tab w:pos="9360" w:val="left"/>
      </w:tabs>
    </w:pPr>
    <w:r/>
    <w:r>
      <w:rPr>
        <w:color w:val="718095"/>
        <w:sz w:val="16"/>
      </w:rPr>
      <w:t>cyber.encse.com/downloads</w:t>
    </w:r>
    <w:r>
      <w:tab/>
      <w:tab/>
    </w:r>
    <w:r>
      <w:rPr>
        <w:color w:val="718095"/>
        <w:sz w:val="16"/>
      </w:rPr>
      <w:t xml:space="preserve">Page </w:t>
    </w:r>
    <w:r>
      <w:rPr>
        <w:i w:val="0"/>
        <w:color w:val="71809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4" w:color="00D4AA"/>
      </w:pBdr>
    </w:pPr>
    <w:r/>
    <w:r>
      <w:drawing>
        <wp:inline xmlns:a="http://schemas.openxmlformats.org/drawingml/2006/main" xmlns:pic="http://schemas.openxmlformats.org/drawingml/2006/picture">
          <wp:extent cx="228600" cy="228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rk_ic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718095"/>
        <w:sz w:val="18"/>
      </w:rPr>
      <w:t xml:space="preserve">  cyber.encse</w:t>
    </w:r>
  </w:p>
  <w:p>
    <w:r>
      <w:drawing>
        <wp:anchor behindDoc="1" distT="0" distB="0" distL="0" distR="0" simplePos="0" locked="0" layoutInCell="1" allowOverlap="1" relativeHeight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200400" cy="3200400"/>
          <wp:wrapNone/>
          <wp:docPr id="2" name="Picture 2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200400" cy="3200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</w:pPr>
    <w:rPr>
      <w:rFonts w:ascii="Calibri" w:cs="Calibri" w:eastAsia="Calibri" w:hAnsi="Calibri"/>
      <w:b/>
      <w:bCs/>
      <w:color w:val="0D15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</w:pPr>
    <w:rPr>
      <w:rFonts w:ascii="Calibri" w:cs="Calibri" w:eastAsia="Calibri" w:hAnsi="Calibri"/>
      <w:b/>
      <w:bCs/>
      <w:color w:val="0F766E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2026-08-11T16:48:06.626Z</dcterms:created>
  <dcterms:modified xsi:type="dcterms:W3CDTF">2026-08-11T16:48:06.627Z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